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 QUE FORMULA LA COMISIONADA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</w:t>
      </w:r>
      <w:r w:rsidRPr="00F96C04">
        <w:rPr>
          <w:rFonts w:ascii="Palatino Linotype" w:hAnsi="Palatino Linotype"/>
          <w:b/>
          <w:sz w:val="24"/>
          <w:szCs w:val="24"/>
        </w:rPr>
        <w:t xml:space="preserve">EN LA </w:t>
      </w:r>
      <w:r w:rsidR="00007428">
        <w:rPr>
          <w:rFonts w:ascii="Palatino Linotype" w:hAnsi="Palatino Linotype"/>
          <w:b/>
          <w:sz w:val="24"/>
          <w:szCs w:val="24"/>
        </w:rPr>
        <w:t>VIGÉSIMA SEGUNDA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F96C04">
        <w:rPr>
          <w:rFonts w:ascii="Palatino Linotype" w:hAnsi="Palatino Linotype"/>
          <w:b/>
          <w:sz w:val="24"/>
          <w:szCs w:val="24"/>
        </w:rPr>
        <w:t xml:space="preserve">SESIÓN ORDINARIA DEL PLENO DE FECHA </w:t>
      </w:r>
      <w:r w:rsidR="00007428">
        <w:rPr>
          <w:rFonts w:ascii="Palatino Linotype" w:hAnsi="Palatino Linotype"/>
          <w:b/>
          <w:sz w:val="24"/>
          <w:szCs w:val="24"/>
        </w:rPr>
        <w:t>DOCE DE JUNIO</w:t>
      </w:r>
      <w:r>
        <w:rPr>
          <w:rFonts w:ascii="Palatino Linotype" w:hAnsi="Palatino Linotype"/>
          <w:b/>
          <w:sz w:val="24"/>
          <w:szCs w:val="24"/>
        </w:rPr>
        <w:t xml:space="preserve"> DE DOS MIL DIECINUEVE</w:t>
      </w:r>
      <w:r w:rsidRPr="00F96C04">
        <w:rPr>
          <w:rFonts w:ascii="Palatino Linotype" w:hAnsi="Palatino Linotype"/>
          <w:b/>
          <w:sz w:val="24"/>
          <w:szCs w:val="24"/>
        </w:rPr>
        <w:t xml:space="preserve">, EN EL RECURSO DE REVISIÓN </w:t>
      </w:r>
      <w:r w:rsidR="00007428" w:rsidRPr="00007428">
        <w:rPr>
          <w:rFonts w:ascii="Palatino Linotype" w:hAnsi="Palatino Linotype"/>
          <w:b/>
          <w:sz w:val="24"/>
          <w:szCs w:val="24"/>
        </w:rPr>
        <w:t>02082/INFOEM/IP/RR/2019</w:t>
      </w:r>
      <w:r w:rsidR="00007428">
        <w:rPr>
          <w:rFonts w:ascii="Palatino Linotype" w:hAnsi="Palatino Linotype"/>
          <w:b/>
          <w:sz w:val="24"/>
          <w:szCs w:val="24"/>
        </w:rPr>
        <w:t>.</w:t>
      </w:r>
    </w:p>
    <w:p w:rsidR="00824210" w:rsidRDefault="00824210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8697C" w:rsidRDefault="00824210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la Comisionada Presidenta Zulema Martínez Sánchez emite VOTO PARTICULAR respecto a la resolución dictada en el recurso de revisión </w:t>
      </w:r>
      <w:r w:rsidR="00007428" w:rsidRPr="00007428">
        <w:rPr>
          <w:rFonts w:ascii="Palatino Linotype" w:hAnsi="Palatino Linotype"/>
          <w:sz w:val="24"/>
          <w:szCs w:val="24"/>
        </w:rPr>
        <w:t>02082/INFOEM/IP/RR/2019</w:t>
      </w:r>
      <w:r>
        <w:rPr>
          <w:rFonts w:ascii="Palatino Linotype" w:hAnsi="Palatino Linotype"/>
          <w:sz w:val="24"/>
          <w:szCs w:val="24"/>
        </w:rPr>
        <w:t>, pronunciada por el Pleno de este Instituto an</w:t>
      </w:r>
      <w:r w:rsidR="00007428">
        <w:rPr>
          <w:rFonts w:ascii="Palatino Linotype" w:hAnsi="Palatino Linotype"/>
          <w:sz w:val="24"/>
          <w:szCs w:val="24"/>
        </w:rPr>
        <w:t>te el proyecto presentado por la Comisionada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07428" w:rsidRPr="00007428">
        <w:rPr>
          <w:rFonts w:ascii="Palatino Linotype" w:hAnsi="Palatino Linotype"/>
          <w:sz w:val="24"/>
          <w:szCs w:val="24"/>
        </w:rPr>
        <w:t>Eva Abaid Yapur</w:t>
      </w:r>
      <w:r>
        <w:rPr>
          <w:rFonts w:ascii="Palatino Linotype" w:hAnsi="Palatino Linotype"/>
          <w:sz w:val="24"/>
          <w:szCs w:val="24"/>
        </w:rPr>
        <w:t>, que es del tenor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 w:rsidR="00007428">
        <w:rPr>
          <w:rFonts w:ascii="Palatino Linotype" w:hAnsi="Palatino Linotype"/>
          <w:sz w:val="24"/>
          <w:szCs w:val="24"/>
        </w:rPr>
        <w:t>recordando que el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</w:t>
      </w:r>
      <w:r w:rsidR="00007428" w:rsidRPr="00007428">
        <w:rPr>
          <w:rFonts w:ascii="Palatino Linotype" w:hAnsi="Palatino Linotype"/>
          <w:sz w:val="24"/>
          <w:szCs w:val="24"/>
        </w:rPr>
        <w:t>Ayuntamiento de Valle de Chalco Solidaridad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07428" w:rsidRPr="00007428" w:rsidRDefault="00007428" w:rsidP="00007428">
      <w:pPr>
        <w:pStyle w:val="Prrafodelista"/>
        <w:numPr>
          <w:ilvl w:val="0"/>
          <w:numId w:val="6"/>
        </w:numPr>
        <w:spacing w:after="0" w:line="240" w:lineRule="auto"/>
        <w:ind w:right="902"/>
        <w:jc w:val="both"/>
        <w:rPr>
          <w:rFonts w:ascii="Palatino Linotype" w:eastAsia="Times New Roman" w:hAnsi="Palatino Linotype" w:cs="Times New Roman"/>
          <w:bCs/>
          <w:i/>
          <w:lang w:eastAsia="es-ES"/>
        </w:rPr>
      </w:pPr>
      <w:r w:rsidRPr="00007428">
        <w:rPr>
          <w:rFonts w:ascii="Palatino Linotype" w:eastAsia="Times New Roman" w:hAnsi="Palatino Linotype" w:cs="Times New Roman"/>
          <w:bCs/>
          <w:i/>
          <w:lang w:eastAsia="es-ES"/>
        </w:rPr>
        <w:t xml:space="preserve">Los recibos de nómina de la totalidad de servidores públicos del Municipio de Valle de Chalco Solidaridad correspondientes a la segunda quincena del mes de febrero de 2019. </w:t>
      </w:r>
    </w:p>
    <w:p w:rsidR="00007428" w:rsidRPr="00007428" w:rsidRDefault="00007428" w:rsidP="00007428">
      <w:pPr>
        <w:pStyle w:val="Prrafodelista"/>
        <w:numPr>
          <w:ilvl w:val="0"/>
          <w:numId w:val="6"/>
        </w:numPr>
        <w:spacing w:after="0" w:line="240" w:lineRule="auto"/>
        <w:ind w:right="899"/>
        <w:jc w:val="both"/>
        <w:rPr>
          <w:rFonts w:ascii="Palatino Linotype" w:eastAsia="Times New Roman" w:hAnsi="Palatino Linotype" w:cs="Times New Roman"/>
          <w:bCs/>
          <w:i/>
          <w:lang w:eastAsia="es-ES"/>
        </w:rPr>
      </w:pPr>
      <w:r w:rsidRPr="00007428">
        <w:rPr>
          <w:rFonts w:ascii="Palatino Linotype" w:eastAsia="Times New Roman" w:hAnsi="Palatino Linotype" w:cs="Times New Roman"/>
          <w:bCs/>
          <w:i/>
          <w:lang w:eastAsia="es-ES"/>
        </w:rPr>
        <w:lastRenderedPageBreak/>
        <w:t xml:space="preserve">El documento o documentos en donde conste el pago al personal contratado por tiempo determinado (lista de raya y honorarios), correspondientes a la segunda quincena del mes de febrero de 2019. Para el caso de que no hubiese contratado personal por tiempo determinado en la temporalidad referida, deberá hacerlo del conocimiento al </w:t>
      </w:r>
      <w:r w:rsidRPr="00007428">
        <w:rPr>
          <w:rFonts w:ascii="Palatino Linotype" w:eastAsia="Times New Roman" w:hAnsi="Palatino Linotype" w:cs="Times New Roman"/>
          <w:b/>
          <w:bCs/>
          <w:i/>
          <w:lang w:eastAsia="es-ES"/>
        </w:rPr>
        <w:t>RECURRENTE</w:t>
      </w:r>
      <w:r w:rsidRPr="00007428">
        <w:rPr>
          <w:rFonts w:ascii="Palatino Linotype" w:eastAsia="Times New Roman" w:hAnsi="Palatino Linotype" w:cs="Times New Roman"/>
          <w:bCs/>
          <w:i/>
          <w:lang w:eastAsia="es-ES"/>
        </w:rPr>
        <w:t xml:space="preserve">. 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Ahora bien,</w:t>
      </w:r>
      <w:r w:rsidR="00007428">
        <w:rPr>
          <w:rFonts w:ascii="Palatino Linotype" w:hAnsi="Palatino Linotype"/>
          <w:sz w:val="24"/>
          <w:szCs w:val="24"/>
        </w:rPr>
        <w:t xml:space="preserve"> como correctamente lo señala la Comisionada</w:t>
      </w:r>
      <w:r>
        <w:rPr>
          <w:rFonts w:ascii="Palatino Linotype" w:hAnsi="Palatino Linotype"/>
          <w:sz w:val="24"/>
          <w:szCs w:val="24"/>
        </w:rPr>
        <w:t xml:space="preserve"> Ponente, de las constancias que integran el expediente en el SAIMEX, se advierte que el </w:t>
      </w:r>
      <w:r>
        <w:rPr>
          <w:rFonts w:ascii="Palatino Linotype" w:hAnsi="Palatino Linotype"/>
          <w:b/>
          <w:sz w:val="24"/>
          <w:szCs w:val="24"/>
        </w:rPr>
        <w:t xml:space="preserve">sujeto obligado </w:t>
      </w:r>
      <w:r>
        <w:rPr>
          <w:rFonts w:ascii="Palatino Linotype" w:hAnsi="Palatino Linotype"/>
          <w:sz w:val="24"/>
          <w:szCs w:val="24"/>
        </w:rPr>
        <w:t xml:space="preserve">fue omiso de dar respuesta a las solicitudes de información, por lo que el ahora </w:t>
      </w:r>
      <w:r>
        <w:rPr>
          <w:rFonts w:ascii="Palatino Linotype" w:hAnsi="Palatino Linotype"/>
          <w:b/>
          <w:sz w:val="24"/>
          <w:szCs w:val="24"/>
        </w:rPr>
        <w:t>recurrente</w:t>
      </w:r>
      <w:r>
        <w:rPr>
          <w:rFonts w:ascii="Palatino Linotype" w:hAnsi="Palatino Linotype"/>
          <w:sz w:val="24"/>
          <w:szCs w:val="24"/>
        </w:rPr>
        <w:t xml:space="preserve"> interpuso los recursos de revisión que derivaron en la emisión de la resolución que nos atañe, haciendo valer como razones y motivos de inconformidad de forma concreta, la falta de respuesta a la solicitud de información.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falta de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>
        <w:rPr>
          <w:rFonts w:ascii="Palatino Linotype" w:hAnsi="Palatino Linotype"/>
          <w:sz w:val="24"/>
          <w:szCs w:val="24"/>
        </w:rPr>
        <w:t>así como de la omisión de r</w:t>
      </w:r>
      <w:r w:rsidR="00CE5A88">
        <w:rPr>
          <w:rFonts w:ascii="Palatino Linotype" w:hAnsi="Palatino Linotype"/>
          <w:sz w:val="24"/>
          <w:szCs w:val="24"/>
        </w:rPr>
        <w:t>endir su informe justificado, la Comisionad</w:t>
      </w:r>
      <w:r>
        <w:rPr>
          <w:rFonts w:ascii="Palatino Linotype" w:hAnsi="Palatino Linotype"/>
          <w:sz w:val="24"/>
          <w:szCs w:val="24"/>
        </w:rPr>
        <w:t xml:space="preserve"> Ponente, resolvió en ordenar la entrega de la información peticionada, como se acredita en lo estipulado en su resolutivo SEGUNDO, como se acredita a continuación: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E5A88" w:rsidRPr="00CE5A88" w:rsidRDefault="0098697C" w:rsidP="00CE5A88">
      <w:pPr>
        <w:spacing w:before="100" w:beforeAutospacing="1" w:after="100" w:afterAutospacing="1" w:line="360" w:lineRule="auto"/>
        <w:ind w:left="851" w:right="851"/>
        <w:jc w:val="both"/>
        <w:rPr>
          <w:rFonts w:ascii="Palatino Linotype" w:eastAsia="Times New Roman" w:hAnsi="Palatino Linotype" w:cs="Times New Roman"/>
          <w:i/>
          <w:shd w:val="clear" w:color="auto" w:fill="FFFFFF"/>
          <w:lang w:eastAsia="es-ES"/>
        </w:rPr>
      </w:pPr>
      <w:r w:rsidRPr="00CE5A88">
        <w:rPr>
          <w:rFonts w:ascii="Palatino Linotype" w:hAnsi="Palatino Linotype" w:cs="Arial"/>
          <w:b/>
          <w:i/>
        </w:rPr>
        <w:t>“</w:t>
      </w:r>
      <w:r w:rsidR="00CE5A88" w:rsidRPr="00CE5A88">
        <w:rPr>
          <w:rFonts w:ascii="Palatino Linotype" w:eastAsia="Times New Roman" w:hAnsi="Palatino Linotype" w:cs="Arial"/>
          <w:b/>
          <w:bCs/>
          <w:i/>
          <w:lang w:eastAsia="es-MX"/>
        </w:rPr>
        <w:t>SEGUNDO</w:t>
      </w:r>
      <w:r w:rsidR="00CE5A88" w:rsidRPr="00CE5A88">
        <w:rPr>
          <w:rFonts w:ascii="Palatino Linotype" w:eastAsia="Calibri" w:hAnsi="Palatino Linotype" w:cs="Arial"/>
          <w:b/>
          <w:bCs/>
          <w:i/>
          <w:lang w:eastAsia="es-ES"/>
        </w:rPr>
        <w:t xml:space="preserve">. </w:t>
      </w:r>
      <w:r w:rsidR="00CE5A88" w:rsidRPr="00CE5A88">
        <w:rPr>
          <w:rFonts w:ascii="Palatino Linotype" w:eastAsia="Calibri" w:hAnsi="Palatino Linotype" w:cs="Arial"/>
          <w:bCs/>
          <w:i/>
          <w:lang w:eastAsia="es-ES"/>
        </w:rPr>
        <w:t>Se</w:t>
      </w:r>
      <w:r w:rsidR="00CE5A88" w:rsidRPr="00CE5A88">
        <w:rPr>
          <w:rFonts w:ascii="Palatino Linotype" w:eastAsia="Calibri" w:hAnsi="Palatino Linotype" w:cs="Arial"/>
          <w:b/>
          <w:bCs/>
          <w:i/>
          <w:lang w:eastAsia="es-ES"/>
        </w:rPr>
        <w:t xml:space="preserve"> </w:t>
      </w:r>
      <w:r w:rsidR="00CE5A88" w:rsidRPr="00CE5A88">
        <w:rPr>
          <w:rFonts w:ascii="Palatino Linotype" w:eastAsia="Calibri" w:hAnsi="Palatino Linotype" w:cs="Arial"/>
          <w:b/>
          <w:i/>
          <w:lang w:eastAsia="es-ES"/>
        </w:rPr>
        <w:t xml:space="preserve">ORDENA </w:t>
      </w:r>
      <w:r w:rsidR="00CE5A88" w:rsidRPr="00CE5A88">
        <w:rPr>
          <w:rFonts w:ascii="Palatino Linotype" w:eastAsia="Calibri" w:hAnsi="Palatino Linotype" w:cs="Arial"/>
          <w:i/>
          <w:lang w:eastAsia="es-ES"/>
        </w:rPr>
        <w:t xml:space="preserve">al </w:t>
      </w:r>
      <w:r w:rsidR="00CE5A88" w:rsidRPr="00CE5A88">
        <w:rPr>
          <w:rFonts w:ascii="Palatino Linotype" w:eastAsia="Calibri" w:hAnsi="Palatino Linotype" w:cs="Arial"/>
          <w:b/>
          <w:i/>
          <w:lang w:eastAsia="es-ES"/>
        </w:rPr>
        <w:t xml:space="preserve">SUJETO OBLIGADO </w:t>
      </w:r>
      <w:r w:rsidR="00CE5A88" w:rsidRPr="00CE5A88">
        <w:rPr>
          <w:rFonts w:ascii="Palatino Linotype" w:eastAsia="Calibri" w:hAnsi="Palatino Linotype" w:cs="Arial"/>
          <w:i/>
          <w:lang w:eastAsia="es-ES"/>
        </w:rPr>
        <w:t xml:space="preserve">atienda la solicitud de información </w:t>
      </w:r>
      <w:r w:rsidR="00CE5A88" w:rsidRPr="00CE5A88">
        <w:rPr>
          <w:rFonts w:ascii="Palatino Linotype" w:eastAsia="Calibri" w:hAnsi="Palatino Linotype" w:cs="Arial"/>
          <w:b/>
          <w:i/>
          <w:lang w:eastAsia="es-ES"/>
        </w:rPr>
        <w:t>00164/VACHASO/IP/2019</w:t>
      </w:r>
      <w:r w:rsidR="00CE5A88" w:rsidRPr="00CE5A88">
        <w:rPr>
          <w:rFonts w:ascii="Palatino Linotype" w:eastAsia="Times New Roman" w:hAnsi="Palatino Linotype" w:cs="Arial"/>
          <w:i/>
          <w:lang w:eastAsia="es-ES"/>
        </w:rPr>
        <w:t xml:space="preserve">, en términos del Considerando </w:t>
      </w:r>
      <w:r w:rsidR="00CE5A88" w:rsidRPr="00CE5A88">
        <w:rPr>
          <w:rFonts w:ascii="Palatino Linotype" w:eastAsia="Times New Roman" w:hAnsi="Palatino Linotype" w:cs="Arial"/>
          <w:b/>
          <w:i/>
          <w:lang w:eastAsia="es-ES"/>
        </w:rPr>
        <w:t>QUINTO</w:t>
      </w:r>
      <w:r w:rsidR="00CE5A88" w:rsidRPr="00CE5A88">
        <w:rPr>
          <w:rFonts w:ascii="Palatino Linotype" w:eastAsia="Times New Roman" w:hAnsi="Palatino Linotype" w:cs="Arial"/>
          <w:i/>
          <w:lang w:eastAsia="es-ES"/>
        </w:rPr>
        <w:t xml:space="preserve"> y, haga entrega al </w:t>
      </w:r>
      <w:r w:rsidR="00CE5A88" w:rsidRPr="00CE5A88">
        <w:rPr>
          <w:rFonts w:ascii="Palatino Linotype" w:eastAsia="Times New Roman" w:hAnsi="Palatino Linotype" w:cs="Arial"/>
          <w:b/>
          <w:i/>
          <w:lang w:eastAsia="es-ES"/>
        </w:rPr>
        <w:t>RECURRENTE</w:t>
      </w:r>
      <w:r w:rsidR="00CE5A88" w:rsidRPr="00CE5A88">
        <w:rPr>
          <w:rFonts w:ascii="Palatino Linotype" w:eastAsia="Times New Roman" w:hAnsi="Palatino Linotype" w:cs="Arial"/>
          <w:i/>
          <w:lang w:eastAsia="es-ES"/>
        </w:rPr>
        <w:t xml:space="preserve">, vía </w:t>
      </w:r>
      <w:r w:rsidR="00CE5A88" w:rsidRPr="00CE5A88">
        <w:rPr>
          <w:rFonts w:ascii="Palatino Linotype" w:eastAsia="Times New Roman" w:hAnsi="Palatino Linotype" w:cs="Arial"/>
          <w:b/>
          <w:i/>
          <w:lang w:eastAsia="es-ES"/>
        </w:rPr>
        <w:t xml:space="preserve">SAIMEX, </w:t>
      </w:r>
      <w:r w:rsidR="00CE5A88" w:rsidRPr="00CE5A88">
        <w:rPr>
          <w:rFonts w:ascii="Palatino Linotype" w:eastAsia="Times New Roman" w:hAnsi="Palatino Linotype" w:cs="Arial"/>
          <w:i/>
          <w:lang w:eastAsia="es-ES"/>
        </w:rPr>
        <w:t xml:space="preserve">en </w:t>
      </w:r>
      <w:r w:rsidR="00CE5A88" w:rsidRPr="00CE5A88">
        <w:rPr>
          <w:rFonts w:ascii="Palatino Linotype" w:eastAsia="Times New Roman" w:hAnsi="Palatino Linotype" w:cs="Arial"/>
          <w:b/>
          <w:i/>
          <w:lang w:eastAsia="es-ES"/>
        </w:rPr>
        <w:t xml:space="preserve">versión pública </w:t>
      </w:r>
      <w:r w:rsidR="00CE5A88" w:rsidRPr="00CE5A88">
        <w:rPr>
          <w:rFonts w:ascii="Palatino Linotype" w:eastAsia="Times New Roman" w:hAnsi="Palatino Linotype" w:cs="Arial"/>
          <w:i/>
          <w:lang w:eastAsia="es-ES"/>
        </w:rPr>
        <w:t>lo siguiente</w:t>
      </w:r>
      <w:r w:rsidR="00CE5A88" w:rsidRPr="00CE5A88">
        <w:rPr>
          <w:rFonts w:ascii="Palatino Linotype" w:eastAsia="Times New Roman" w:hAnsi="Palatino Linotype" w:cs="Times New Roman"/>
          <w:i/>
          <w:shd w:val="clear" w:color="auto" w:fill="FFFFFF"/>
          <w:lang w:eastAsia="es-ES"/>
        </w:rPr>
        <w:t>:</w:t>
      </w:r>
    </w:p>
    <w:p w:rsidR="00CE5A88" w:rsidRPr="00CE5A88" w:rsidRDefault="00CE5A88" w:rsidP="00CE5A88">
      <w:pPr>
        <w:spacing w:after="0" w:line="240" w:lineRule="auto"/>
        <w:ind w:left="851" w:right="851" w:hanging="142"/>
        <w:jc w:val="both"/>
        <w:rPr>
          <w:rFonts w:ascii="Palatino Linotype" w:eastAsia="Times New Roman" w:hAnsi="Palatino Linotype" w:cs="Times New Roman"/>
          <w:bCs/>
          <w:i/>
          <w:lang w:eastAsia="es-ES"/>
        </w:rPr>
      </w:pPr>
      <w:r w:rsidRPr="00CE5A88">
        <w:rPr>
          <w:rFonts w:ascii="Palatino Linotype" w:eastAsia="Times New Roman" w:hAnsi="Palatino Linotype" w:cs="Arial"/>
          <w:i/>
          <w:lang w:eastAsia="es-ES"/>
        </w:rPr>
        <w:lastRenderedPageBreak/>
        <w:t xml:space="preserve">“a) </w:t>
      </w:r>
      <w:r w:rsidRPr="00CE5A88">
        <w:rPr>
          <w:rFonts w:ascii="Palatino Linotype" w:eastAsia="Times New Roman" w:hAnsi="Palatino Linotype" w:cs="Times New Roman"/>
          <w:bCs/>
          <w:i/>
          <w:lang w:eastAsia="es-ES"/>
        </w:rPr>
        <w:t xml:space="preserve">Los recibos de nómina de la totalidad de servidores públicos del Municipio de Valle de Chalco Solidaridad correspondientes a la segunda quincena del mes de febrero de 2019. </w:t>
      </w:r>
    </w:p>
    <w:p w:rsidR="00CE5A88" w:rsidRPr="00CE5A88" w:rsidRDefault="00CE5A88" w:rsidP="00CE5A88">
      <w:pPr>
        <w:spacing w:after="0" w:line="240" w:lineRule="auto"/>
        <w:ind w:left="851" w:right="851"/>
        <w:jc w:val="both"/>
        <w:rPr>
          <w:rFonts w:ascii="Palatino Linotype" w:eastAsia="Times New Roman" w:hAnsi="Palatino Linotype" w:cs="Times New Roman"/>
          <w:bCs/>
          <w:i/>
          <w:lang w:eastAsia="es-ES"/>
        </w:rPr>
      </w:pPr>
      <w:r w:rsidRPr="00CE5A88">
        <w:rPr>
          <w:rFonts w:ascii="Palatino Linotype" w:eastAsia="Times New Roman" w:hAnsi="Palatino Linotype" w:cs="Times New Roman"/>
          <w:bCs/>
          <w:i/>
          <w:lang w:eastAsia="es-ES"/>
        </w:rPr>
        <w:t xml:space="preserve">b) El documento o documentos en donde conste el pago al personal contratado por tiempo determinado (lista de raya y honorarios), correspondientes a la segunda quincena del mes de febrero de 2019. Para el caso de que no hubiese contratado personal por tiempo determinado en la temporalidad referida, deberá hacerlo del conocimiento al </w:t>
      </w:r>
      <w:r w:rsidRPr="00CE5A88">
        <w:rPr>
          <w:rFonts w:ascii="Palatino Linotype" w:eastAsia="Times New Roman" w:hAnsi="Palatino Linotype" w:cs="Times New Roman"/>
          <w:b/>
          <w:bCs/>
          <w:i/>
          <w:lang w:eastAsia="es-ES"/>
        </w:rPr>
        <w:t>RECURRENTE</w:t>
      </w:r>
      <w:r w:rsidRPr="00CE5A88">
        <w:rPr>
          <w:rFonts w:ascii="Palatino Linotype" w:eastAsia="Times New Roman" w:hAnsi="Palatino Linotype" w:cs="Times New Roman"/>
          <w:bCs/>
          <w:i/>
          <w:lang w:eastAsia="es-ES"/>
        </w:rPr>
        <w:t xml:space="preserve">. </w:t>
      </w:r>
    </w:p>
    <w:p w:rsidR="00CE5A88" w:rsidRPr="00CE5A88" w:rsidRDefault="00CE5A88" w:rsidP="00CE5A88">
      <w:pPr>
        <w:spacing w:after="0" w:line="240" w:lineRule="auto"/>
        <w:ind w:left="851" w:right="851"/>
        <w:jc w:val="both"/>
        <w:rPr>
          <w:rFonts w:ascii="Palatino Linotype" w:eastAsia="Times New Roman" w:hAnsi="Palatino Linotype" w:cs="Times New Roman"/>
          <w:bCs/>
          <w:i/>
          <w:lang w:eastAsia="es-ES"/>
        </w:rPr>
      </w:pPr>
    </w:p>
    <w:p w:rsidR="0098697C" w:rsidRPr="00CE5A88" w:rsidRDefault="00CE5A88" w:rsidP="00CE5A88">
      <w:pPr>
        <w:spacing w:after="0" w:line="240" w:lineRule="auto"/>
        <w:ind w:left="851" w:right="851"/>
        <w:jc w:val="both"/>
        <w:rPr>
          <w:rFonts w:ascii="Palatino Linotype" w:eastAsia="Times New Roman" w:hAnsi="Palatino Linotype" w:cs="Arial"/>
          <w:i/>
          <w:lang w:eastAsia="es-ES"/>
        </w:rPr>
      </w:pPr>
      <w:r w:rsidRPr="00CE5A88">
        <w:rPr>
          <w:rFonts w:ascii="Palatino Linotype" w:eastAsia="Times New Roman" w:hAnsi="Palatino Linotype" w:cs="Arial"/>
          <w:i/>
          <w:lang w:eastAsia="es-MX"/>
        </w:rPr>
        <w:t>Debiendo</w:t>
      </w:r>
      <w:r w:rsidRPr="00CE5A88">
        <w:rPr>
          <w:rFonts w:ascii="Palatino Linotype" w:eastAsia="Times New Roman" w:hAnsi="Palatino Linotype" w:cs="Arial"/>
          <w:i/>
          <w:lang w:eastAsia="es-ES"/>
        </w:rPr>
        <w:t xml:space="preserve"> notificar al</w:t>
      </w:r>
      <w:r w:rsidRPr="00CE5A88">
        <w:rPr>
          <w:rFonts w:ascii="Palatino Linotype" w:eastAsia="Times New Roman" w:hAnsi="Palatino Linotype" w:cs="Arial"/>
          <w:b/>
          <w:i/>
          <w:lang w:eastAsia="es-ES"/>
        </w:rPr>
        <w:t xml:space="preserve"> RECURRENTE</w:t>
      </w:r>
      <w:r w:rsidRPr="00CE5A88">
        <w:rPr>
          <w:rFonts w:ascii="Palatino Linotype" w:eastAsia="Times New Roman" w:hAnsi="Palatino Linotype" w:cs="Arial"/>
          <w:i/>
          <w:lang w:eastAsia="es-ES"/>
        </w:rPr>
        <w:t xml:space="preserve"> el Acuerdo de Clasificación de la información que emita en su caso el Comité de Transparencia con motivo de la versión pública.</w:t>
      </w:r>
      <w:r w:rsidR="0098697C" w:rsidRPr="00CE5A88">
        <w:rPr>
          <w:rFonts w:ascii="Palatino Linotype" w:hAnsi="Palatino Linotype" w:cs="Arial"/>
          <w:i/>
        </w:rPr>
        <w:t>”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 w:cs="Arial"/>
          <w:b/>
          <w:i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</w:t>
      </w:r>
      <w:r w:rsidR="00DC0033">
        <w:rPr>
          <w:rFonts w:ascii="Palatino Linotype" w:hAnsi="Palatino Linotype"/>
          <w:sz w:val="24"/>
          <w:szCs w:val="24"/>
        </w:rPr>
        <w:t>debemos recordar que</w:t>
      </w:r>
      <w:r>
        <w:rPr>
          <w:rFonts w:ascii="Palatino Linotype" w:hAnsi="Palatino Linotype"/>
          <w:sz w:val="24"/>
          <w:szCs w:val="24"/>
        </w:rPr>
        <w:t xml:space="preserve">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CE5A88" w:rsidRDefault="00CE5A88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De igual manera, el</w:t>
      </w:r>
      <w:r w:rsidR="0098697C">
        <w:rPr>
          <w:rFonts w:ascii="Palatino Linotype" w:hAnsi="Palatino Linotype"/>
          <w:sz w:val="24"/>
          <w:szCs w:val="24"/>
        </w:rPr>
        <w:t xml:space="preserve"> artículo 23 de la Ley de Transparencia local,</w:t>
      </w:r>
      <w:r>
        <w:rPr>
          <w:rFonts w:ascii="Palatino Linotype" w:hAnsi="Palatino Linotype"/>
          <w:sz w:val="24"/>
          <w:szCs w:val="24"/>
        </w:rPr>
        <w:t xml:space="preserve"> establece que</w:t>
      </w:r>
      <w:r w:rsidR="0098697C">
        <w:rPr>
          <w:rFonts w:ascii="Palatino Linotype" w:hAnsi="Palatino Linotype"/>
          <w:sz w:val="24"/>
          <w:szCs w:val="24"/>
        </w:rPr>
        <w:t xml:space="preserve"> los </w:t>
      </w:r>
      <w:r w:rsidR="0098697C">
        <w:rPr>
          <w:rFonts w:ascii="Palatino Linotype" w:hAnsi="Palatino Linotype"/>
          <w:b/>
          <w:sz w:val="24"/>
          <w:szCs w:val="24"/>
        </w:rPr>
        <w:t>sujetos obligados</w:t>
      </w:r>
      <w:r w:rsidR="0098697C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 motivo, los recursos públicos, lo que en estricto sentido se comparte.</w:t>
      </w:r>
    </w:p>
    <w:p w:rsidR="00BD146C" w:rsidRDefault="00BD146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3774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Empero, </w:t>
      </w:r>
      <w:r w:rsidR="00DC0033">
        <w:rPr>
          <w:rFonts w:ascii="Palatino Linotype" w:hAnsi="Palatino Linotype"/>
          <w:sz w:val="24"/>
          <w:szCs w:val="24"/>
        </w:rPr>
        <w:t xml:space="preserve">en el presente asunto </w:t>
      </w:r>
      <w:r>
        <w:rPr>
          <w:rFonts w:ascii="Palatino Linotype" w:hAnsi="Palatino Linotype"/>
          <w:sz w:val="24"/>
          <w:szCs w:val="24"/>
        </w:rPr>
        <w:t>se difiere atendiendo a la calidad de los servidores públicos que reciben recursos públicos, ello atendiendo a que los Policías Municipales junto con los Estatales y Federales, en sus distintas denominaciones, 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ese sentido, se comparte el sentido de ordenar se atienda la solicitud de información, no obstante se considera que por cuanto hace a la </w:t>
      </w:r>
      <w:r w:rsidR="00CE5A88">
        <w:rPr>
          <w:rFonts w:ascii="Palatino Linotype" w:hAnsi="Palatino Linotype"/>
          <w:sz w:val="24"/>
          <w:szCs w:val="24"/>
        </w:rPr>
        <w:t xml:space="preserve">entrega de la información de las Instituciones de </w:t>
      </w:r>
      <w:r w:rsidR="008B2684">
        <w:rPr>
          <w:rFonts w:ascii="Palatino Linotype" w:hAnsi="Palatino Linotype"/>
          <w:sz w:val="24"/>
          <w:szCs w:val="24"/>
        </w:rPr>
        <w:t>Segu</w:t>
      </w:r>
      <w:r w:rsidR="00CE5A88">
        <w:rPr>
          <w:rFonts w:ascii="Palatino Linotype" w:hAnsi="Palatino Linotype"/>
          <w:sz w:val="24"/>
          <w:szCs w:val="24"/>
        </w:rPr>
        <w:t>ridad Pública</w:t>
      </w:r>
      <w:r>
        <w:rPr>
          <w:rFonts w:ascii="Palatino Linotype" w:hAnsi="Palatino Linotype"/>
          <w:sz w:val="24"/>
          <w:szCs w:val="24"/>
        </w:rPr>
        <w:t>, si bien se ordena su entrega en forma disociada, dicha tutela no alcanza a proteger la totalidad de la esfera jurídica de los servidores públicos adscritos a tal dirección.</w:t>
      </w: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Lo anterior, deriva que en la actualidad el hacer públicos los nombres de los servidores públicos de la multicitada </w:t>
      </w:r>
      <w:r w:rsidR="00365383">
        <w:rPr>
          <w:rFonts w:ascii="Palatino Linotype" w:hAnsi="Palatino Linotype"/>
          <w:sz w:val="24"/>
          <w:szCs w:val="24"/>
        </w:rPr>
        <w:t>Comisaria</w:t>
      </w:r>
      <w:r>
        <w:rPr>
          <w:rFonts w:ascii="Palatino Linotype" w:hAnsi="Palatino Linotype"/>
          <w:sz w:val="24"/>
          <w:szCs w:val="24"/>
        </w:rPr>
        <w:t>, los pondría en grave riesgo, atendiendo a los altos grados de criminalidad y violencia que se viven en el país, lo que conllevaría que al hacerlos identificables, se les vulnere su seguridad e integridad física.</w:t>
      </w:r>
    </w:p>
    <w:p w:rsidR="00DC0033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D0F1C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todo lo anteriormente expuesto y fundado, la suscrita </w:t>
      </w:r>
      <w:r w:rsidR="0021751D">
        <w:rPr>
          <w:rFonts w:ascii="Palatino Linotype" w:hAnsi="Palatino Linotype" w:cs="Arial"/>
        </w:rPr>
        <w:t>se aparta únicamente por cuanto hace al punto en estudio</w:t>
      </w:r>
      <w:r>
        <w:rPr>
          <w:rFonts w:ascii="Palatino Linotype" w:hAnsi="Palatino Linotype" w:cs="Arial"/>
        </w:rPr>
        <w:t xml:space="preserve">, toda vez que se hace vulnerables e identificables a los servidores públicos que integran </w:t>
      </w:r>
      <w:r w:rsidR="00CE5A88">
        <w:rPr>
          <w:rFonts w:ascii="Palatino Linotype" w:hAnsi="Palatino Linotype" w:cs="Arial"/>
        </w:rPr>
        <w:t xml:space="preserve">las Instituciones de Seguridad Pública del </w:t>
      </w:r>
      <w:r w:rsidR="00CE5A88" w:rsidRPr="00CE5A88">
        <w:rPr>
          <w:rFonts w:ascii="Palatino Linotype" w:hAnsi="Palatino Linotype" w:cs="Arial"/>
        </w:rPr>
        <w:t>Ayuntamiento Valle de Chalco Solidaridad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21751D" w:rsidRDefault="0021751D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0D0F1C" w:rsidRDefault="000D0F1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AC5985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3F3117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98697C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98697C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</w:t>
      </w:r>
    </w:p>
    <w:p w:rsidR="0021751D" w:rsidRPr="0021751D" w:rsidRDefault="0021751D" w:rsidP="0021751D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21751D" w:rsidRPr="0021751D" w:rsidRDefault="00336B8A" w:rsidP="0021751D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336B8A">
        <w:rPr>
          <w:rFonts w:ascii="Palatino Linotype" w:hAnsi="Palatino Linotype"/>
          <w:sz w:val="18"/>
          <w:szCs w:val="18"/>
        </w:rPr>
        <w:t>Esta hoja corresponde al voto particular emitido en el recurso de revisión 02082/INFOEM/IP/RR/2019</w:t>
      </w:r>
      <w:bookmarkStart w:id="0" w:name="_GoBack"/>
      <w:bookmarkEnd w:id="0"/>
      <w:r w:rsidRPr="00336B8A">
        <w:rPr>
          <w:rFonts w:ascii="Palatino Linotype" w:hAnsi="Palatino Linotype"/>
          <w:sz w:val="18"/>
          <w:szCs w:val="18"/>
        </w:rPr>
        <w:t>, aprobado en fecha doce de junio de dos mil diecinueve</w:t>
      </w:r>
      <w:r w:rsidR="0021751D" w:rsidRPr="0021751D">
        <w:rPr>
          <w:rFonts w:ascii="Palatino Linotype" w:hAnsi="Palatino Linotype"/>
          <w:sz w:val="18"/>
          <w:szCs w:val="18"/>
        </w:rPr>
        <w:t>.</w:t>
      </w:r>
    </w:p>
    <w:p w:rsidR="0021751D" w:rsidRPr="0021751D" w:rsidRDefault="008B2684" w:rsidP="0021751D">
      <w:pPr>
        <w:spacing w:after="0" w:line="240" w:lineRule="auto"/>
        <w:jc w:val="both"/>
        <w:rPr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OSAM/EJDG</w:t>
      </w:r>
    </w:p>
    <w:sectPr w:rsidR="0021751D" w:rsidRPr="0021751D" w:rsidSect="00DD7AD0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B3" w:rsidRDefault="00C03EB3" w:rsidP="0098697C">
      <w:pPr>
        <w:spacing w:after="0" w:line="240" w:lineRule="auto"/>
      </w:pPr>
      <w:r>
        <w:separator/>
      </w:r>
    </w:p>
  </w:endnote>
  <w:endnote w:type="continuationSeparator" w:id="0">
    <w:p w:rsidR="00C03EB3" w:rsidRDefault="00C03EB3" w:rsidP="0098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D0" w:rsidRPr="00986599" w:rsidRDefault="0054212D" w:rsidP="00DD7AD0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E5A88">
      <w:rPr>
        <w:rFonts w:ascii="Arial" w:hAnsi="Arial" w:cs="Arial"/>
        <w:b/>
        <w:bCs/>
        <w:noProof/>
        <w:sz w:val="20"/>
        <w:szCs w:val="20"/>
      </w:rPr>
      <w:t>5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E5A88">
      <w:rPr>
        <w:rFonts w:ascii="Arial" w:hAnsi="Arial" w:cs="Arial"/>
        <w:b/>
        <w:bCs/>
        <w:noProof/>
        <w:sz w:val="20"/>
        <w:szCs w:val="20"/>
      </w:rPr>
      <w:t>5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D7AD0" w:rsidRDefault="00C03EB3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B3" w:rsidRDefault="00C03EB3" w:rsidP="0098697C">
      <w:pPr>
        <w:spacing w:after="0" w:line="240" w:lineRule="auto"/>
      </w:pPr>
      <w:r>
        <w:separator/>
      </w:r>
    </w:p>
  </w:footnote>
  <w:footnote w:type="continuationSeparator" w:id="0">
    <w:p w:rsidR="00C03EB3" w:rsidRDefault="00C03EB3" w:rsidP="0098697C">
      <w:pPr>
        <w:spacing w:after="0" w:line="240" w:lineRule="auto"/>
      </w:pPr>
      <w:r>
        <w:continuationSeparator/>
      </w:r>
    </w:p>
  </w:footnote>
  <w:footnote w:id="1"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98697C" w:rsidRPr="00637DEC" w:rsidRDefault="0098697C" w:rsidP="0098697C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98697C" w:rsidRPr="00637DEC" w:rsidRDefault="0098697C" w:rsidP="0098697C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D0" w:rsidRDefault="0054212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C14F083" wp14:editId="1A5B8E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54212D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4F0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54212D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7C" w:rsidRDefault="00C03EB3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0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9869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BACC92" wp14:editId="6D46ED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98697C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ACC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98697C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697C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5012121" wp14:editId="2760D052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98697C" w:rsidRPr="00563D0F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007428" w:rsidRPr="00007428">
      <w:rPr>
        <w:rFonts w:ascii="Palatino Linotype" w:hAnsi="Palatino Linotype" w:cs="Arial"/>
        <w:b/>
        <w:sz w:val="20"/>
        <w:szCs w:val="20"/>
      </w:rPr>
      <w:t>02082/INFOEM/IP/RR/2019</w:t>
    </w:r>
  </w:p>
  <w:p w:rsidR="0098697C" w:rsidRDefault="0098697C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902DB" w:rsidRPr="0098697C" w:rsidRDefault="00C03EB3" w:rsidP="009869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1034"/>
    <w:multiLevelType w:val="hybridMultilevel"/>
    <w:tmpl w:val="42287962"/>
    <w:lvl w:ilvl="0" w:tplc="18BA1B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DD5243"/>
    <w:multiLevelType w:val="hybridMultilevel"/>
    <w:tmpl w:val="61905A44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158A1"/>
    <w:multiLevelType w:val="hybridMultilevel"/>
    <w:tmpl w:val="E500E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1DC0"/>
    <w:multiLevelType w:val="hybridMultilevel"/>
    <w:tmpl w:val="EC10C8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5E60"/>
    <w:multiLevelType w:val="hybridMultilevel"/>
    <w:tmpl w:val="CB6A1B1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7C"/>
    <w:rsid w:val="00007428"/>
    <w:rsid w:val="000D0F1C"/>
    <w:rsid w:val="00131740"/>
    <w:rsid w:val="0021751D"/>
    <w:rsid w:val="00336B8A"/>
    <w:rsid w:val="00365383"/>
    <w:rsid w:val="0054212D"/>
    <w:rsid w:val="006F275F"/>
    <w:rsid w:val="0074311B"/>
    <w:rsid w:val="00824210"/>
    <w:rsid w:val="008B2684"/>
    <w:rsid w:val="0098697C"/>
    <w:rsid w:val="00BD146C"/>
    <w:rsid w:val="00C03EB3"/>
    <w:rsid w:val="00CE5A88"/>
    <w:rsid w:val="00DC0033"/>
    <w:rsid w:val="00F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1A2C682-43B1-4D44-9484-998B32F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98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98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9869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9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9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97C"/>
    <w:rPr>
      <w:vertAlign w:val="superscript"/>
    </w:rPr>
  </w:style>
  <w:style w:type="paragraph" w:styleId="Prrafodelista">
    <w:name w:val="List Paragraph"/>
    <w:basedOn w:val="Normal"/>
    <w:link w:val="PrrafodelistaCar"/>
    <w:uiPriority w:val="72"/>
    <w:qFormat/>
    <w:rsid w:val="0098697C"/>
    <w:pPr>
      <w:spacing w:line="259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qFormat/>
    <w:locked/>
    <w:rsid w:val="0098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INFOEM</cp:lastModifiedBy>
  <cp:revision>3</cp:revision>
  <dcterms:created xsi:type="dcterms:W3CDTF">2019-06-14T19:15:00Z</dcterms:created>
  <dcterms:modified xsi:type="dcterms:W3CDTF">2019-06-17T22:02:00Z</dcterms:modified>
</cp:coreProperties>
</file>